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1D4BF" w14:textId="77777777" w:rsidR="00436AB7" w:rsidRDefault="00436AB7" w:rsidP="00436AB7">
      <w:pPr>
        <w:shd w:val="clear" w:color="auto" w:fill="FFFFFF"/>
        <w:spacing w:after="0" w:line="240" w:lineRule="auto"/>
        <w:rPr>
          <w:rFonts w:ascii="Arial" w:eastAsia="Times New Roman" w:hAnsi="Arial" w:cs="Arial"/>
          <w:b/>
          <w:bCs/>
          <w:sz w:val="33"/>
          <w:szCs w:val="33"/>
        </w:rPr>
      </w:pPr>
      <w:bookmarkStart w:id="0" w:name="_GoBack"/>
      <w:bookmarkEnd w:id="0"/>
    </w:p>
    <w:p w14:paraId="7A8031F8" w14:textId="77777777" w:rsidR="00436AB7" w:rsidRPr="005D0001" w:rsidRDefault="00436AB7" w:rsidP="00436AB7">
      <w:pPr>
        <w:rPr>
          <w:b/>
          <w:bCs/>
          <w:u w:val="single"/>
        </w:rPr>
      </w:pPr>
      <w:r w:rsidRPr="005D0001">
        <w:rPr>
          <w:b/>
          <w:bCs/>
          <w:u w:val="single"/>
        </w:rPr>
        <w:t>§170-27 Schedule of Uses</w:t>
      </w:r>
    </w:p>
    <w:p w14:paraId="2309DE1F" w14:textId="7EA4A78A" w:rsidR="00436AB7" w:rsidRDefault="004E4E04" w:rsidP="00436AB7">
      <w:r>
        <w:t>Mobile Food Vendor</w:t>
      </w:r>
      <w:r w:rsidR="008D0EFA">
        <w:t>s</w:t>
      </w:r>
    </w:p>
    <w:p w14:paraId="4C9B1BCF" w14:textId="77777777" w:rsidR="00436AB7" w:rsidRDefault="00436AB7" w:rsidP="00436AB7"/>
    <w:p w14:paraId="7586B827" w14:textId="42C9402A" w:rsidR="00436AB7" w:rsidRPr="005D0001" w:rsidRDefault="00436AB7" w:rsidP="00436AB7">
      <w:pPr>
        <w:rPr>
          <w:u w:val="single"/>
        </w:rPr>
      </w:pPr>
      <w:r w:rsidRPr="005D0001">
        <w:rPr>
          <w:u w:val="single"/>
        </w:rPr>
        <w:t>GR</w:t>
      </w:r>
      <w:r w:rsidRPr="005D0001">
        <w:rPr>
          <w:u w:val="single"/>
        </w:rPr>
        <w:tab/>
      </w:r>
      <w:r>
        <w:rPr>
          <w:u w:val="single"/>
        </w:rPr>
        <w:tab/>
      </w:r>
      <w:r w:rsidRPr="005D0001">
        <w:rPr>
          <w:u w:val="single"/>
        </w:rPr>
        <w:t>SR</w:t>
      </w:r>
      <w:r w:rsidRPr="005D0001">
        <w:rPr>
          <w:u w:val="single"/>
        </w:rPr>
        <w:tab/>
      </w:r>
      <w:r>
        <w:rPr>
          <w:u w:val="single"/>
        </w:rPr>
        <w:tab/>
      </w:r>
      <w:r w:rsidRPr="005D0001">
        <w:rPr>
          <w:u w:val="single"/>
        </w:rPr>
        <w:t>DB</w:t>
      </w:r>
      <w:r>
        <w:rPr>
          <w:u w:val="single"/>
        </w:rPr>
        <w:tab/>
      </w:r>
      <w:r w:rsidRPr="005D0001">
        <w:rPr>
          <w:u w:val="single"/>
        </w:rPr>
        <w:tab/>
        <w:t>WW</w:t>
      </w:r>
      <w:r w:rsidRPr="005D0001">
        <w:rPr>
          <w:u w:val="single"/>
        </w:rPr>
        <w:tab/>
      </w:r>
      <w:r>
        <w:rPr>
          <w:u w:val="single"/>
        </w:rPr>
        <w:tab/>
      </w:r>
      <w:r w:rsidRPr="005D0001">
        <w:rPr>
          <w:u w:val="single"/>
        </w:rPr>
        <w:t>LC/M</w:t>
      </w:r>
      <w:r w:rsidRPr="005D0001">
        <w:rPr>
          <w:u w:val="single"/>
        </w:rPr>
        <w:tab/>
      </w:r>
      <w:r>
        <w:rPr>
          <w:u w:val="single"/>
        </w:rPr>
        <w:tab/>
      </w:r>
      <w:r w:rsidRPr="005D0001">
        <w:rPr>
          <w:u w:val="single"/>
        </w:rPr>
        <w:t>GB</w:t>
      </w:r>
      <w:r w:rsidRPr="005D0001">
        <w:rPr>
          <w:u w:val="single"/>
        </w:rPr>
        <w:tab/>
      </w:r>
      <w:r>
        <w:rPr>
          <w:u w:val="single"/>
        </w:rPr>
        <w:tab/>
      </w:r>
      <w:r w:rsidRPr="005D0001">
        <w:rPr>
          <w:u w:val="single"/>
        </w:rPr>
        <w:t>RP</w:t>
      </w:r>
    </w:p>
    <w:p w14:paraId="4C5395D8" w14:textId="0BC66D44" w:rsidR="00436AB7" w:rsidRDefault="00436AB7" w:rsidP="00436AB7">
      <w:pPr>
        <w:rPr>
          <w:vertAlign w:val="superscript"/>
        </w:rPr>
      </w:pPr>
      <w:r>
        <w:tab/>
      </w:r>
      <w:r>
        <w:tab/>
      </w:r>
      <w:r>
        <w:tab/>
      </w:r>
      <w:r>
        <w:tab/>
        <w:t>P</w:t>
      </w:r>
      <w:r>
        <w:rPr>
          <w:vertAlign w:val="superscript"/>
        </w:rPr>
        <w:t>18</w:t>
      </w:r>
      <w:r>
        <w:tab/>
      </w:r>
      <w:r>
        <w:tab/>
      </w:r>
      <w:r>
        <w:tab/>
      </w:r>
      <w:r>
        <w:tab/>
      </w:r>
      <w:r>
        <w:tab/>
      </w:r>
      <w:r>
        <w:tab/>
        <w:t>P</w:t>
      </w:r>
      <w:r>
        <w:rPr>
          <w:vertAlign w:val="superscript"/>
        </w:rPr>
        <w:t>18</w:t>
      </w:r>
    </w:p>
    <w:p w14:paraId="3DA86C0A" w14:textId="77777777" w:rsidR="00436AB7" w:rsidRDefault="00436AB7" w:rsidP="00436AB7">
      <w:pPr>
        <w:rPr>
          <w:vertAlign w:val="superscript"/>
        </w:rPr>
      </w:pPr>
    </w:p>
    <w:p w14:paraId="01459D0B" w14:textId="77777777" w:rsidR="00436AB7" w:rsidRPr="005D0001" w:rsidRDefault="00436AB7" w:rsidP="00436AB7">
      <w:pPr>
        <w:rPr>
          <w:u w:val="single"/>
          <w:vertAlign w:val="superscript"/>
        </w:rPr>
      </w:pPr>
    </w:p>
    <w:p w14:paraId="66A66791" w14:textId="77777777" w:rsidR="00436AB7" w:rsidRPr="005D0001" w:rsidRDefault="00436AB7" w:rsidP="00436AB7">
      <w:pPr>
        <w:rPr>
          <w:u w:val="single"/>
        </w:rPr>
      </w:pPr>
      <w:r w:rsidRPr="005D0001">
        <w:rPr>
          <w:u w:val="single"/>
        </w:rPr>
        <w:t>Notes to Schedule of Uses:</w:t>
      </w:r>
    </w:p>
    <w:p w14:paraId="18E004D7" w14:textId="435713F0" w:rsidR="00436AB7" w:rsidRDefault="00436AB7" w:rsidP="00436AB7">
      <w:pPr>
        <w:rPr>
          <w:rFonts w:ascii="Arial" w:hAnsi="Arial" w:cs="Arial"/>
          <w:color w:val="000000"/>
          <w:sz w:val="20"/>
          <w:szCs w:val="20"/>
        </w:rPr>
      </w:pPr>
      <w:r>
        <w:rPr>
          <w:vertAlign w:val="superscript"/>
        </w:rPr>
        <w:t>18</w:t>
      </w:r>
      <w:r>
        <w:t xml:space="preserve"> A Mobile Food Vendor is defined as </w:t>
      </w:r>
      <w:r>
        <w:rPr>
          <w:rFonts w:ascii="Arial" w:hAnsi="Arial" w:cs="Arial"/>
          <w:color w:val="000000"/>
          <w:sz w:val="20"/>
          <w:szCs w:val="20"/>
        </w:rPr>
        <w:t>a seller of food</w:t>
      </w:r>
      <w:r w:rsidRPr="005D0001">
        <w:rPr>
          <w:rFonts w:cs="Arial"/>
          <w:shd w:val="clear" w:color="auto" w:fill="FFFFFF"/>
        </w:rPr>
        <w:t>, beverages or other items intended for immediate human consumption</w:t>
      </w:r>
      <w:r>
        <w:rPr>
          <w:rFonts w:ascii="Arial" w:hAnsi="Arial" w:cs="Arial"/>
          <w:color w:val="000000"/>
          <w:sz w:val="20"/>
          <w:szCs w:val="20"/>
        </w:rPr>
        <w:t xml:space="preserve"> from a mobile van, truck, cart</w:t>
      </w:r>
      <w:r w:rsidR="008D0EFA">
        <w:rPr>
          <w:rFonts w:ascii="Arial" w:hAnsi="Arial" w:cs="Arial"/>
          <w:color w:val="000000"/>
          <w:sz w:val="20"/>
          <w:szCs w:val="20"/>
        </w:rPr>
        <w:t>,</w:t>
      </w:r>
      <w:r>
        <w:rPr>
          <w:rFonts w:ascii="Arial" w:hAnsi="Arial" w:cs="Arial"/>
          <w:color w:val="000000"/>
          <w:sz w:val="20"/>
          <w:szCs w:val="20"/>
        </w:rPr>
        <w:t xml:space="preserve"> or other conveyance</w:t>
      </w:r>
    </w:p>
    <w:p w14:paraId="5C2FC86B" w14:textId="565A923C" w:rsidR="00436AB7" w:rsidRPr="00436AB7" w:rsidRDefault="00F73745" w:rsidP="00436AB7">
      <w:pPr>
        <w:shd w:val="clear" w:color="auto" w:fill="FFFFFF"/>
        <w:spacing w:after="0" w:line="240" w:lineRule="auto"/>
        <w:rPr>
          <w:rFonts w:eastAsia="Times New Roman" w:cs="Arial"/>
          <w:b/>
          <w:bCs/>
          <w:u w:val="single"/>
        </w:rPr>
      </w:pPr>
      <w:hyperlink r:id="rId4" w:anchor="8628129" w:history="1">
        <w:r w:rsidR="00436AB7" w:rsidRPr="00436AB7">
          <w:rPr>
            <w:rFonts w:eastAsia="Times New Roman" w:cs="Arial"/>
          </w:rPr>
          <w:br/>
        </w:r>
        <w:r w:rsidR="00436AB7" w:rsidRPr="00436AB7">
          <w:rPr>
            <w:rFonts w:eastAsia="Times New Roman" w:cs="Arial"/>
            <w:b/>
            <w:bCs/>
            <w:u w:val="single"/>
          </w:rPr>
          <w:t>§ 170-53</w:t>
        </w:r>
        <w:r w:rsidR="00436AB7">
          <w:rPr>
            <w:rFonts w:eastAsia="Times New Roman" w:cs="Arial"/>
            <w:b/>
            <w:bCs/>
            <w:u w:val="single"/>
          </w:rPr>
          <w:t xml:space="preserve"> </w:t>
        </w:r>
        <w:r w:rsidR="00436AB7" w:rsidRPr="00436AB7">
          <w:rPr>
            <w:rFonts w:eastAsia="Times New Roman" w:cs="Arial"/>
            <w:b/>
            <w:bCs/>
            <w:u w:val="single"/>
          </w:rPr>
          <w:t>Retail/wholesale sales or services.</w:t>
        </w:r>
      </w:hyperlink>
    </w:p>
    <w:p w14:paraId="30288804" w14:textId="77777777" w:rsidR="00436AB7" w:rsidRPr="00436AB7" w:rsidRDefault="00436AB7" w:rsidP="00436AB7">
      <w:pPr>
        <w:shd w:val="clear" w:color="auto" w:fill="FFFFFF"/>
        <w:spacing w:line="330" w:lineRule="atLeast"/>
        <w:rPr>
          <w:rFonts w:eastAsia="Times New Roman" w:cs="Arial"/>
        </w:rPr>
      </w:pPr>
      <w:r w:rsidRPr="00436AB7">
        <w:rPr>
          <w:rFonts w:eastAsia="Times New Roman" w:cs="Arial"/>
        </w:rPr>
        <w:t>[Amended 5-3-2004 by ATM Art. 74; 5-3-2008 by ATM Art. 82]</w:t>
      </w:r>
    </w:p>
    <w:p w14:paraId="1DF6BE72" w14:textId="5B0C1626" w:rsidR="00436AB7" w:rsidRPr="00436AB7" w:rsidRDefault="00436AB7" w:rsidP="00436AB7">
      <w:pPr>
        <w:rPr>
          <w:rFonts w:cs="Arial"/>
          <w:u w:val="single"/>
          <w:shd w:val="clear" w:color="auto" w:fill="FFFFFF"/>
        </w:rPr>
      </w:pPr>
      <w:r w:rsidRPr="00436AB7">
        <w:rPr>
          <w:rFonts w:eastAsia="Times New Roman" w:cs="Arial"/>
        </w:rPr>
        <w:t xml:space="preserve">No retail/wholesale sales or services of food, beverages or other items intended for immediate human consumption shall be offered or solicited except on privately owned property, </w:t>
      </w:r>
      <w:r w:rsidRPr="00436AB7">
        <w:rPr>
          <w:rFonts w:eastAsia="Times New Roman" w:cs="Arial"/>
          <w:strike/>
        </w:rPr>
        <w:t>in which the retail sales or services are located, except for restaurants, which may offer on-premises consumption incidental to the operation of the restaurant on a deck, porch or equivalent structure or in a garden, patio or equivalent area. Before approval or</w:t>
      </w:r>
      <w:r w:rsidRPr="00436AB7">
        <w:rPr>
          <w:rFonts w:eastAsia="Times New Roman" w:cs="Arial"/>
          <w:u w:val="single"/>
        </w:rPr>
        <w:t xml:space="preserve"> No</w:t>
      </w:r>
      <w:r w:rsidRPr="00436AB7">
        <w:rPr>
          <w:rFonts w:eastAsia="Times New Roman" w:cs="Arial"/>
        </w:rPr>
        <w:t xml:space="preserve"> use </w:t>
      </w:r>
      <w:r w:rsidRPr="00436AB7">
        <w:rPr>
          <w:rFonts w:eastAsia="Times New Roman" w:cs="Arial"/>
          <w:u w:val="single"/>
        </w:rPr>
        <w:t>or operation</w:t>
      </w:r>
      <w:r w:rsidRPr="00436AB7">
        <w:rPr>
          <w:rFonts w:eastAsia="Times New Roman" w:cs="Arial"/>
        </w:rPr>
        <w:t xml:space="preserve"> of a drive-up or take-out window </w:t>
      </w:r>
      <w:r w:rsidRPr="00436AB7">
        <w:rPr>
          <w:rFonts w:cs="Arial"/>
          <w:u w:val="single"/>
          <w:shd w:val="clear" w:color="auto" w:fill="FFFFFF"/>
        </w:rPr>
        <w:t>shall occur without a permit from the Planning Board, which permit shall be for the term of one year and may be renewed on an annual basis</w:t>
      </w:r>
      <w:r w:rsidR="0034451B">
        <w:rPr>
          <w:rFonts w:cs="Arial"/>
          <w:u w:val="single"/>
          <w:shd w:val="clear" w:color="auto" w:fill="FFFFFF"/>
        </w:rPr>
        <w:t xml:space="preserve"> by the Code Enforcement Officer</w:t>
      </w:r>
      <w:r w:rsidRPr="00436AB7">
        <w:rPr>
          <w:rFonts w:cs="Arial"/>
          <w:u w:val="single"/>
          <w:shd w:val="clear" w:color="auto" w:fill="FFFFFF"/>
        </w:rPr>
        <w:t>.  Upon the application for such permit or renewal, the applicant shall submit an acceptable litter control plan, evidence that the applicant has the financial resources and technical ability to carry out the litter control plan, and evidence that the drive-up, walk-up, or take-out window will not interfere with the public’s use of any public way,  all of which shall be satisfactory as determined by the Planning Board.  The Planning Board shall take into account any complaints, citations, notices of violation, and orders to stop issued to or about the applicant or any previous operator of the same site, as reported by the Code Enforcement Officer.  The Planning Board may condition any such permit upon compliance with the litter control plan and/or the lack of interference with the public’s use of any public way.</w:t>
      </w:r>
      <w:r w:rsidR="008D0EFA">
        <w:rPr>
          <w:rFonts w:cs="Arial"/>
          <w:u w:val="single"/>
          <w:shd w:val="clear" w:color="auto" w:fill="FFFFFF"/>
        </w:rPr>
        <w:t xml:space="preserve"> </w:t>
      </w:r>
      <w:r w:rsidR="0078567D">
        <w:rPr>
          <w:rFonts w:cs="Arial"/>
          <w:u w:val="single"/>
          <w:shd w:val="clear" w:color="auto" w:fill="FFFFFF"/>
        </w:rPr>
        <w:t>No use or operation</w:t>
      </w:r>
      <w:r w:rsidR="00E31AC1">
        <w:rPr>
          <w:rFonts w:cs="Arial"/>
          <w:u w:val="single"/>
          <w:shd w:val="clear" w:color="auto" w:fill="FFFFFF"/>
        </w:rPr>
        <w:t xml:space="preserve"> that is not functionally water dependent</w:t>
      </w:r>
      <w:r w:rsidR="0078567D">
        <w:rPr>
          <w:rFonts w:cs="Arial"/>
          <w:u w:val="single"/>
          <w:shd w:val="clear" w:color="auto" w:fill="FFFFFF"/>
        </w:rPr>
        <w:t xml:space="preserve"> shall o</w:t>
      </w:r>
      <w:r w:rsidR="00E31AC1">
        <w:rPr>
          <w:rFonts w:cs="Arial"/>
          <w:u w:val="single"/>
          <w:shd w:val="clear" w:color="auto" w:fill="FFFFFF"/>
        </w:rPr>
        <w:t>ccur</w:t>
      </w:r>
      <w:r w:rsidR="0078567D">
        <w:rPr>
          <w:rFonts w:cs="Arial"/>
          <w:u w:val="single"/>
          <w:shd w:val="clear" w:color="auto" w:fill="FFFFFF"/>
        </w:rPr>
        <w:t xml:space="preserve"> from any structure over the water.</w:t>
      </w:r>
    </w:p>
    <w:p w14:paraId="1DF4EFB6" w14:textId="77777777" w:rsidR="00436AB7" w:rsidRPr="00436AB7" w:rsidRDefault="00436AB7" w:rsidP="00436AB7">
      <w:pPr>
        <w:rPr>
          <w:rFonts w:cs="Arial"/>
        </w:rPr>
      </w:pPr>
      <w:r w:rsidRPr="00436AB7">
        <w:rPr>
          <w:rFonts w:cs="Arial"/>
          <w:u w:val="single"/>
          <w:shd w:val="clear" w:color="auto" w:fill="FFFFFF"/>
        </w:rPr>
        <w:t>The Code Enforcement Officer may grant temporary permits under this section for civic, statewide, or regional events of nonprofit organizations</w:t>
      </w:r>
      <w:r w:rsidRPr="00436AB7">
        <w:rPr>
          <w:rFonts w:cs="Arial"/>
          <w:shd w:val="clear" w:color="auto" w:fill="FFFFFF"/>
        </w:rPr>
        <w:t xml:space="preserve"> </w:t>
      </w:r>
      <w:r w:rsidRPr="00436AB7">
        <w:rPr>
          <w:rFonts w:cs="Arial"/>
          <w:u w:val="single"/>
          <w:shd w:val="clear" w:color="auto" w:fill="FFFFFF"/>
        </w:rPr>
        <w:t>of an occasional nature</w:t>
      </w:r>
      <w:r w:rsidRPr="00436AB7">
        <w:rPr>
          <w:rFonts w:cs="Arial"/>
          <w:shd w:val="clear" w:color="auto" w:fill="FFFFFF"/>
        </w:rPr>
        <w:t>.</w:t>
      </w:r>
    </w:p>
    <w:p w14:paraId="589CD9DB" w14:textId="77777777" w:rsidR="00436AB7" w:rsidRPr="00436AB7" w:rsidRDefault="00436AB7" w:rsidP="00436AB7">
      <w:pPr>
        <w:shd w:val="clear" w:color="auto" w:fill="FFFFFF"/>
        <w:spacing w:after="0" w:line="330" w:lineRule="atLeast"/>
        <w:jc w:val="both"/>
        <w:rPr>
          <w:rFonts w:eastAsia="Times New Roman" w:cs="Arial"/>
          <w:strike/>
        </w:rPr>
      </w:pPr>
      <w:r w:rsidRPr="00436AB7">
        <w:rPr>
          <w:rFonts w:eastAsia="Times New Roman" w:cs="Arial"/>
          <w:strike/>
        </w:rPr>
        <w:t>, the applicant or operator shall submit to the Town a litter control plan suitable for the service provided. No drive-up or take-out window may interfere with the public’s use of a public way. This provision shall not apply to civic events or statewide or regional events of nonprofit organizations.</w:t>
      </w:r>
    </w:p>
    <w:p w14:paraId="3D5BAA88" w14:textId="08149EDE" w:rsidR="004F1E54" w:rsidRPr="00436AB7" w:rsidRDefault="004F1E54">
      <w:pPr>
        <w:rPr>
          <w:rFonts w:ascii="Arial" w:eastAsia="Times New Roman" w:hAnsi="Arial" w:cs="Arial"/>
          <w:b/>
          <w:bCs/>
          <w:sz w:val="33"/>
          <w:szCs w:val="33"/>
        </w:rPr>
      </w:pPr>
    </w:p>
    <w:sectPr w:rsidR="004F1E54" w:rsidRPr="0043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B7"/>
    <w:rsid w:val="0034451B"/>
    <w:rsid w:val="00436AB7"/>
    <w:rsid w:val="004E4E04"/>
    <w:rsid w:val="004F1E54"/>
    <w:rsid w:val="0078567D"/>
    <w:rsid w:val="008D0EFA"/>
    <w:rsid w:val="00E31AC1"/>
    <w:rsid w:val="00F7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2443"/>
  <w15:chartTrackingRefBased/>
  <w15:docId w15:val="{4E8ED704-516B-4291-B30A-F6989DB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1217">
      <w:bodyDiv w:val="1"/>
      <w:marLeft w:val="0"/>
      <w:marRight w:val="0"/>
      <w:marTop w:val="0"/>
      <w:marBottom w:val="0"/>
      <w:divBdr>
        <w:top w:val="none" w:sz="0" w:space="0" w:color="auto"/>
        <w:left w:val="none" w:sz="0" w:space="0" w:color="auto"/>
        <w:bottom w:val="none" w:sz="0" w:space="0" w:color="auto"/>
        <w:right w:val="none" w:sz="0" w:space="0" w:color="auto"/>
      </w:divBdr>
      <w:divsChild>
        <w:div w:id="192232661">
          <w:marLeft w:val="0"/>
          <w:marRight w:val="0"/>
          <w:marTop w:val="390"/>
          <w:marBottom w:val="0"/>
          <w:divBdr>
            <w:top w:val="none" w:sz="0" w:space="0" w:color="auto"/>
            <w:left w:val="none" w:sz="0" w:space="0" w:color="auto"/>
            <w:bottom w:val="none" w:sz="0" w:space="0" w:color="auto"/>
            <w:right w:val="none" w:sz="0" w:space="0" w:color="auto"/>
          </w:divBdr>
        </w:div>
        <w:div w:id="2006393928">
          <w:marLeft w:val="0"/>
          <w:marRight w:val="0"/>
          <w:marTop w:val="0"/>
          <w:marBottom w:val="0"/>
          <w:divBdr>
            <w:top w:val="none" w:sz="0" w:space="0" w:color="auto"/>
            <w:left w:val="none" w:sz="0" w:space="0" w:color="auto"/>
            <w:bottom w:val="none" w:sz="0" w:space="0" w:color="auto"/>
            <w:right w:val="none" w:sz="0" w:space="0" w:color="auto"/>
          </w:divBdr>
          <w:divsChild>
            <w:div w:id="13073904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de360.com/8628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Smith</dc:creator>
  <cp:keywords/>
  <dc:description/>
  <cp:lastModifiedBy>Patricia Fallon</cp:lastModifiedBy>
  <cp:revision>2</cp:revision>
  <dcterms:created xsi:type="dcterms:W3CDTF">2020-01-30T15:03:00Z</dcterms:created>
  <dcterms:modified xsi:type="dcterms:W3CDTF">2020-01-30T15:03:00Z</dcterms:modified>
</cp:coreProperties>
</file>